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7.pdf" ContentType="application/pdf"/>
  <Override PartName="/word/media/rId94.png" ContentType="image/png"/>
  <Override PartName="/word/media/rId88.png" ContentType="image/png"/>
  <Override PartName="/word/media/rId82.png" ContentType="image/png"/>
  <Override PartName="/word/media/rId85.pdf" ContentType="application/pdf"/>
  <Override PartName="/word/media/rId97.png" ContentType="image/png"/>
  <Override PartName="/word/media/rId91.png" ContentType="image/png"/>
  <Override PartName="/word/media/rId76.png" ContentType="image/png"/>
  <Override PartName="/word/media/rId79.png" ContentType="image/png"/>
  <Override PartName="/word/media/rId73.pdf" ContentType="application/pdf"/>
  <Override PartName="/word/media/rId70.pdf" ContentType="application/pdf"/>
  <Override PartName="/word/media/rId100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Tyler, J. Matthew Mahoney, Mark P.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A. Rosenthal, Alan D. Attie, Gary A. Churchill and Gregory</w:t>
      </w:r>
      <w:r>
        <w:t xml:space="preserve"> </w:t>
      </w:r>
      <w:r>
        <w:t xml:space="preserve">W.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combined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371 Diversity Outbred mice. Using a novel</w:t>
      </w:r>
      <w:r>
        <w:t xml:space="preserve"> </w:t>
      </w:r>
      <w:r>
        <w:t xml:space="preserve">high-dimensional mediation analysis, we identified a composite</w:t>
      </w:r>
      <w:r>
        <w:t xml:space="preserve"> </w:t>
      </w:r>
      <w:r>
        <w:t xml:space="preserve">transcriptome signature that summarized genetic effects on gene</w:t>
      </w:r>
      <w:r>
        <w:t xml:space="preserve"> </w:t>
      </w:r>
      <w:r>
        <w:t xml:space="preserve">expression and explained 30% of the variation across all metabolic</w:t>
      </w:r>
      <w:r>
        <w:t xml:space="preserve"> </w:t>
      </w:r>
      <w:r>
        <w:t xml:space="preserve">traits. The signature was heritable, interpretable in biological terms,</w:t>
      </w:r>
      <w:r>
        <w:t xml:space="preserve"> </w:t>
      </w:r>
      <w:r>
        <w:t xml:space="preserve">and predicted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had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 </w:t>
      </w:r>
      <w:r>
        <w:t xml:space="preserve">and</w:t>
      </w:r>
      <w:r>
        <w:t xml:space="preserve"> </w:t>
      </w:r>
      <w:r>
        <w:t xml:space="preserve">summary 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 In this model, a gene’s expression is</w:t>
      </w:r>
      <w:r>
        <w:t xml:space="preserve"> </w:t>
      </w:r>
      <w:r>
        <w:t xml:space="preserve">influenced by many variants throughout the genome through their</w:t>
      </w:r>
      <w:r>
        <w:t xml:space="preserve"> </w:t>
      </w:r>
      <w:r>
        <w:t xml:space="preserve">cumulative effects on a broader regulatory network. In other words, the</w:t>
      </w:r>
      <w:r>
        <w:t xml:space="preserve"> </w:t>
      </w:r>
      <w:r>
        <w:t xml:space="preserve">heritable component of the transcriptome is an emergent state arising</w:t>
      </w:r>
      <w:r>
        <w:t xml:space="preserve"> </w:t>
      </w:r>
      <w:r>
        <w:t xml:space="preserve">from the myriad molecular interactions defining and constraining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rPr>
          <w:vertAlign w:val="superscript"/>
        </w:rPr>
        <w:t xml:space="preserve">21,22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rPr>
          <w:vertAlign w:val="superscript"/>
        </w:rPr>
        <w:t xml:space="preserve">23,24</w:t>
      </w:r>
      <w:r>
        <w:t xml:space="preserve">, including adipose tissue, pancreatic</w:t>
      </w:r>
      <w:r>
        <w:t xml:space="preserve"> </w:t>
      </w:r>
      <w:r>
        <w:t xml:space="preserve">islets, liver, and skeletal muscle. The multi-system etiology of</w:t>
      </w:r>
      <w:r>
        <w:t xml:space="preserve"> </w:t>
      </w:r>
      <w:r>
        <w:t xml:space="preserve">metabolic disease complicates mechanistic dissection of the genetic</w:t>
      </w:r>
      <w:r>
        <w:t xml:space="preserve"> </w:t>
      </w:r>
      <w:r>
        <w:t xml:space="preserve">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25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26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25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27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25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haplotypes,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371 mice</w:t>
      </w:r>
      <w:r>
        <w:rPr>
          <w:vertAlign w:val="superscript"/>
        </w:rPr>
        <w:t xml:space="preserve">12</w:t>
      </w:r>
      <w:r>
        <w:t xml:space="preserve">, including body weight, plasma levels</w:t>
      </w:r>
      <w:r>
        <w:t xml:space="preserve"> </w:t>
      </w:r>
      <w:r>
        <w:t xml:space="preserve">of insulin, glucose and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a CC-RIX population and gene expression from three of the four</w:t>
      </w:r>
      <w:r>
        <w:t xml:space="preserve"> </w:t>
      </w:r>
      <w:r>
        <w:t xml:space="preserve">tissues used in the DO: adipose tissue, liver, and skeletal muscle.</w:t>
      </w:r>
      <w:r>
        <w:t xml:space="preserve"> </w:t>
      </w:r>
      <w:r>
        <w:t xml:space="preserve">Because the CC-RIX carry the same founder alleles as the DO, local gene</w:t>
      </w:r>
      <w:r>
        <w:t xml:space="preserve"> </w:t>
      </w:r>
      <w:r>
        <w:t xml:space="preserve">regulation is expected to match between the populations, but because the</w:t>
      </w:r>
      <w:r>
        <w:t xml:space="preserve"> </w:t>
      </w:r>
      <w:r>
        <w:t xml:space="preserve">alleles are recombined through the genome, distal effects are expected</w:t>
      </w:r>
      <w:r>
        <w:t xml:space="preserve"> </w:t>
      </w:r>
      <w:r>
        <w:t xml:space="preserve">to vary from those in the DO, allowing us to directly assess the role of</w:t>
      </w:r>
      <w:r>
        <w:t xml:space="preserve"> </w:t>
      </w:r>
      <w:r>
        <w:t xml:space="preserve">local gene regulation in driving trait-associated transcript variation.</w:t>
      </w:r>
      <w:r>
        <w:t xml:space="preserve"> </w:t>
      </w:r>
      <w:r>
        <w:t xml:space="preserve">Together, these data enable a comprehensive view into the genetic</w:t>
      </w:r>
      <w:r>
        <w:t xml:space="preserve"> </w:t>
      </w:r>
      <w:r>
        <w:t xml:space="preserve">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the DO mice,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C57BL/6J (B6) body</w:t>
      </w:r>
      <w:r>
        <w:t xml:space="preserve"> </w:t>
      </w:r>
      <w:r>
        <w:t xml:space="preserve">weight to several times the body weight of a B6 adult in both sexes</w:t>
      </w:r>
      <w:r>
        <w:t xml:space="preserve"> </w:t>
      </w:r>
      <w:r>
        <w:t xml:space="preserve">(Males: 18.5 - 69.1g,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28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high-fat, high-sugar (HFHS) diet, or that males and females may</w:t>
      </w:r>
      <w:r>
        <w:t xml:space="preserve"> </w:t>
      </w:r>
      <w:r>
        <w:t xml:space="preserve">require different 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FBG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genetics</w:t>
      </w:r>
      <w:r>
        <w:t xml:space="preserve"> </w:t>
      </w:r>
      <w:r>
        <w:t xml:space="preserve">contribute substantially to correlates of metabolic disease in this</w:t>
      </w:r>
      <w:r>
        <w:t xml:space="preserve"> </w:t>
      </w:r>
      <w:r>
        <w:t xml:space="preserve">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 BMD - bone mineral density,</w:t>
      </w:r>
      <w:r>
        <w:t xml:space="preserve"> </w:t>
      </w:r>
      <w:r>
        <w:t xml:space="preserve">WPIC - whole pancreas insulin content, Glu tAUC - glucose total area under</w:t>
      </w:r>
      <w:r>
        <w:t xml:space="preserve"> </w:t>
      </w:r>
      <w:r>
        <w:t xml:space="preserve">the curve, HOMA IR - homeostatic measurement of insulin resistance, HOMA B -</w:t>
      </w:r>
      <w:r>
        <w:t xml:space="preserve"> </w:t>
      </w:r>
      <w:r>
        <w:t xml:space="preserve">homeostatic measure of beta cell health, VLDL - very low-density lipoprotein,</w:t>
      </w:r>
      <w:r>
        <w:t xml:space="preserve"> </w:t>
      </w:r>
      <w:r>
        <w:t xml:space="preserve">LDL - low-density lipoprotein, IDL - intermediate density lipoprotein,</w:t>
      </w:r>
      <w:r>
        <w:t xml:space="preserve"> </w:t>
      </w:r>
      <w:r>
        <w:t xml:space="preserve">HDL - high-density lipoprotein, TG - triglyceride.</w:t>
      </w:r>
      <w:r>
        <w:t xml:space="preserve"> 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measured overall gene expression via bulk RNA-Seq</w:t>
      </w:r>
      <w:r>
        <w:t xml:space="preserve"> </w:t>
      </w:r>
      <w:r>
        <w:t xml:space="preserve">in adipose, islet, liver, and skeletal muscle in the DO cohort (Supp.</w:t>
      </w:r>
      <w:r>
        <w:t xml:space="preserve"> </w:t>
      </w:r>
      <w:r>
        <w:t xml:space="preserve">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A-H). We performed eQTL analysis using R/qtl2</w:t>
      </w:r>
      <w:r>
        <w:rPr>
          <w:vertAlign w:val="superscript"/>
        </w:rPr>
        <w:t xml:space="preserve">29</w:t>
      </w:r>
      <w:r>
        <w:t xml:space="preserve"> </w:t>
      </w:r>
      <w:r>
        <w:t xml:space="preserve">(Methods) and identified both local and distal eQTLs</w:t>
      </w:r>
      <w:r>
        <w:t xml:space="preserve"> </w:t>
      </w:r>
      <w:r>
        <w:t xml:space="preserve">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</w:t>
      </w:r>
      <w:r>
        <w:t xml:space="preserve"> </w:t>
      </w:r>
      <w:r>
        <w:t xml:space="preserve">Significant local eQTLs far outnumbered distal eQTLs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 identified</w:t>
      </w:r>
      <w:r>
        <w:t xml:space="preserve"> </w:t>
      </w:r>
      <w:r>
        <w:t xml:space="preserve">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(Fig,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biological processes representing</w:t>
      </w:r>
      <w:r>
        <w:t xml:space="preserve"> </w:t>
      </w:r>
      <w:r>
        <w:t xml:space="preserve">the mediating endophenotypes driving clinical trait variation. To</w:t>
      </w:r>
      <w:r>
        <w:t xml:space="preserve"> </w:t>
      </w:r>
      <w:r>
        <w:t xml:space="preserve">identify these endophenotypes in a theoretically principled way, we</w:t>
      </w:r>
      <w:r>
        <w:t xml:space="preserve"> </w:t>
      </w:r>
      <w:r>
        <w:t xml:space="preserve">developed a novel dimension-reduction technique, high-dimension</w:t>
      </w:r>
      <w:r>
        <w:t xml:space="preserve"> </w:t>
      </w:r>
      <w:r>
        <w:t xml:space="preserve">mediation analytis (HDMA), that uses the theory of causal graphical</w:t>
      </w:r>
      <w:r>
        <w:t xml:space="preserve"> </w:t>
      </w:r>
      <w:r>
        <w:t xml:space="preserve">models to identify a transcriptomic signature that is simultaneously 1)</w:t>
      </w:r>
      <w:r>
        <w:t xml:space="preserve"> </w:t>
      </w:r>
      <w:r>
        <w:t xml:space="preserve">highly heritable, 2) strongly correlated to the measured phenotypes, and</w:t>
      </w:r>
      <w:r>
        <w:t xml:space="preserve"> </w:t>
      </w:r>
      <w:r>
        <w:t xml:space="preserve">3) 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 high-dimensional scores–a</w:t>
      </w:r>
      <w:r>
        <w:t xml:space="preserve"> </w:t>
      </w:r>
      <w:r>
        <w:t xml:space="preserve">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</w:t>
      </w:r>
      <w:r>
        <w:t xml:space="preserve"> </w:t>
      </w:r>
      <w:r>
        <w:t xml:space="preserve">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</w:t>
      </w:r>
      <w:r>
        <w:t xml:space="preserve"> </w:t>
      </w:r>
      <w:r>
        <w:t xml:space="preserve">univariate theory of mediation to constrain these projections to satisfy</w:t>
      </w:r>
      <w:r>
        <w:t xml:space="preserve"> </w:t>
      </w:r>
      <w:r>
        <w:t xml:space="preserve">the hypotheses of perfect mediation, namely that upon controlling for</w:t>
      </w:r>
      <w:r>
        <w:t xml:space="preserve"> </w:t>
      </w:r>
      <w:r>
        <w:t xml:space="preserve">the transcriptomic score, the genome score is uncorrelated to the</w:t>
      </w:r>
      <w:r>
        <w:t xml:space="preserve"> </w:t>
      </w:r>
      <w:r>
        <w:t xml:space="preserve">phenome score. Formally, perfect mediation implies a constraint on the</w:t>
      </w:r>
      <w:r>
        <w:t xml:space="preserve"> </w:t>
      </w:r>
      <w:r>
        <w:t xml:space="preserve">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30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 Supp.</w:t>
      </w:r>
      <w:r>
        <w:t xml:space="preserve"> </w:t>
      </w:r>
      <w:r>
        <w:t xml:space="preserve">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Using HDMA we identifed the major axis of variation in the transcriptome</w:t>
      </w:r>
      <w:r>
        <w:t xml:space="preserve"> </w:t>
      </w:r>
      <w:r>
        <w:t xml:space="preserve">that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31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strength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Body</w:t>
      </w:r>
      <w:r>
        <w:t xml:space="preserve"> </w:t>
      </w:r>
      <w:r>
        <w:t xml:space="preserve">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</w:t>
      </w:r>
      <w:r>
        <w:t xml:space="preserve"> </w:t>
      </w:r>
      <w:r>
        <w:t xml:space="preserve">homeostatic insulin resistance (HOMA_IR) and fasting plasma insulin</w:t>
      </w:r>
      <w:r>
        <w:t xml:space="preserve"> </w:t>
      </w:r>
      <w:r>
        <w:t xml:space="preserve">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</w:t>
      </w:r>
      <w:r>
        <w:t xml:space="preserve"> </w:t>
      </w:r>
      <w:r>
        <w:t xml:space="preserve">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</w:t>
      </w:r>
      <w:r>
        <w:t xml:space="preserve"> </w:t>
      </w:r>
      <w:r>
        <w:t xml:space="preserve">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disease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disease index (MDI)</w:t>
      </w:r>
      <w:r>
        <w:t xml:space="preserve"> </w:t>
      </w:r>
      <w:r>
        <w:t xml:space="preserve">going forward. Traits contributing the least to the MDI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MDI. Large positive loadings</w:t>
      </w:r>
      <w:r>
        <w:t xml:space="preserve"> </w:t>
      </w:r>
      <w:r>
        <w:t xml:space="preserve">indicate that higher expression was associated with a higher MDI</w:t>
      </w:r>
      <w:r>
        <w:t xml:space="preserve"> </w:t>
      </w:r>
      <w:r>
        <w:t xml:space="preserve">(i.e. higher risk of obesity and metabolic disease on the HFHS diet)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 negative loadings</w:t>
      </w:r>
      <w:r>
        <w:t xml:space="preserve"> </w:t>
      </w:r>
      <w:r>
        <w:t xml:space="preserve">indicate that high expression of these transcripts was associated with a</w:t>
      </w:r>
      <w:r>
        <w:t xml:space="preserve"> </w:t>
      </w:r>
      <w:r>
        <w:t xml:space="preserve">lower MDI (i.e. lower risk of obesity and metabolic disease on the HFHS</w:t>
      </w:r>
      <w:r>
        <w:t xml:space="preserve"> </w:t>
      </w:r>
      <w:r>
        <w:t xml:space="preserve">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</w:t>
      </w:r>
      <w:r>
        <w:t xml:space="preserve"> </w:t>
      </w:r>
      <w:r>
        <w:t xml:space="preserve">analysis (GSEA)</w:t>
      </w:r>
      <w:r>
        <w:rPr>
          <w:vertAlign w:val="superscript"/>
        </w:rPr>
        <w:t xml:space="preserve">32,33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 were positively associated</w:t>
      </w:r>
      <w:r>
        <w:t xml:space="preserve"> </w:t>
      </w:r>
      <w:r>
        <w:t xml:space="preserve">with MDI, indicating that increased expression in inflammatory pathways</w:t>
      </w:r>
      <w:r>
        <w:t xml:space="preserve"> </w:t>
      </w:r>
      <w:r>
        <w:t xml:space="preserve">was associated with a higher MDI. It is well established that adipose</w:t>
      </w:r>
      <w:r>
        <w:t xml:space="preserve"> </w:t>
      </w:r>
      <w:r>
        <w:t xml:space="preserve">tissue in obese individuals is inflamed and infiltrated by macrophages</w:t>
      </w:r>
      <w:r>
        <w:rPr>
          <w:vertAlign w:val="superscript"/>
        </w:rPr>
        <w:t xml:space="preserve">34–38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MDI 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 been shown</w:t>
      </w:r>
      <w:r>
        <w:t xml:space="preserve"> </w:t>
      </w:r>
      <w:r>
        <w:t xml:space="preserve">previously that mouse strains with greater thermogenic potential are</w:t>
      </w:r>
      <w:r>
        <w:t xml:space="preserve"> </w:t>
      </w:r>
      <w:r>
        <w:t xml:space="preserve">also less susceptible to obesity on a HFHS diet</w:t>
      </w:r>
      <w:r>
        <w:rPr>
          <w:vertAlign w:val="superscript"/>
        </w:rPr>
        <w:t xml:space="preserve">39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12,40,41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times more likely than TWAS hits and</w:t>
      </w:r>
      <w:r>
        <w:t xml:space="preserve"> </w:t>
      </w:r>
      <w:r>
        <w:t xml:space="preserve">3.8 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proliferation of immune</w:t>
      </w:r>
      <w:r>
        <w:t xml:space="preserve"> </w:t>
      </w:r>
      <w:r>
        <w:t xml:space="preserve">cells. Otherwise, all clusters were strongly loaded in only one or two</w:t>
      </w:r>
      <w:r>
        <w:t xml:space="preserve"> </w:t>
      </w:r>
      <w:r>
        <w:t xml:space="preserve">tissues. For example, the lipid metabolism cluster was loaded most</w:t>
      </w:r>
      <w:r>
        <w:t xml:space="preserve"> </w:t>
      </w:r>
      <w:r>
        <w:t xml:space="preserve">heavily in liver. The positive loadings suggest that high expression of</w:t>
      </w:r>
      <w:r>
        <w:t xml:space="preserve"> </w:t>
      </w:r>
      <w:r>
        <w:t xml:space="preserve">these genes particularly in the liver was associated with increased</w:t>
      </w:r>
      <w:r>
        <w:t xml:space="preserve"> </w:t>
      </w:r>
      <w:r>
        <w:t xml:space="preserve">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</w:t>
      </w:r>
      <w:r>
        <w:t xml:space="preserve"> </w:t>
      </w:r>
      <w:r>
        <w:t xml:space="preserve">primary role is in the adipose tissue where it is considered a master</w:t>
      </w:r>
      <w:r>
        <w:t xml:space="preserve"> </w:t>
      </w:r>
      <w:r>
        <w:t xml:space="preserve">regulator of adipogenesis</w:t>
      </w:r>
      <w:r>
        <w:rPr>
          <w:vertAlign w:val="superscript"/>
        </w:rPr>
        <w:t xml:space="preserve">42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 to treat</w:t>
      </w:r>
      <w:r>
        <w:t xml:space="preserve"> </w:t>
      </w:r>
      <w:r>
        <w:t xml:space="preserve">type II diabetes, and reduce inflammation and adipose hyptertrophy</w:t>
      </w:r>
      <w:r>
        <w:rPr>
          <w:vertAlign w:val="superscript"/>
        </w:rPr>
        <w:t xml:space="preserve">42</w:t>
      </w:r>
      <w:r>
        <w:t xml:space="preserve">. 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 higher</w:t>
      </w:r>
      <w:r>
        <w:t xml:space="preserve"> </w:t>
      </w:r>
      <w:r>
        <w:t xml:space="preserve">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</w:t>
      </w:r>
      <w:r>
        <w:t xml:space="preserve"> </w:t>
      </w:r>
      <w:r>
        <w:t xml:space="preserve">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 it</w:t>
      </w:r>
      <w:r>
        <w:t xml:space="preserve"> </w:t>
      </w:r>
      <w:r>
        <w:t xml:space="preserve">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43,44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45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 that</w:t>
      </w:r>
      <w:r>
        <w:t xml:space="preserve"> </w:t>
      </w:r>
      <w:r>
        <w:t xml:space="preserve">of adipocytes</w:t>
      </w:r>
      <w:r>
        <w:rPr>
          <w:vertAlign w:val="superscript"/>
        </w:rPr>
        <w:t xml:space="preserve">46,47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MDI. These results highlight the importance of tissue</w:t>
      </w:r>
      <w:r>
        <w:t xml:space="preserve"> </w:t>
      </w:r>
      <w:r>
        <w:t xml:space="preserve">context when investigating the role of heritable transcript variability</w:t>
      </w:r>
      <w:r>
        <w:t xml:space="preserve"> </w:t>
      </w:r>
      <w:r>
        <w:t xml:space="preserve">in driving phenotype.</w:t>
      </w:r>
    </w:p>
    <w:p>
      <w:pPr>
        <w:pStyle w:val="BodyText"/>
      </w:pPr>
      <w:r>
        <w:t xml:space="preserve">Gene lists for all clusters are available in Supp. File 1.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48–51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MDI)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MDI. This result also</w:t>
      </w:r>
      <w:r>
        <w:t xml:space="preserve"> </w:t>
      </w:r>
      <w:r>
        <w:t xml:space="preserve">confirms the validity and translatability of the transcript loadings and</w:t>
      </w:r>
      <w:r>
        <w:t xml:space="preserve"> </w:t>
      </w:r>
      <w:r>
        <w:t xml:space="preserve">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disease</w:t>
      </w:r>
      <w:r>
        <w:t xml:space="preserve"> </w:t>
      </w:r>
      <w:r>
        <w:t xml:space="preserve">index (MDI) and measured body weight. The left column shows the</w:t>
      </w:r>
      <w:r>
        <w:t xml:space="preserve"> </w:t>
      </w:r>
      <w:r>
        <w:t xml:space="preserve">predictions using measured transcripts. The right column shows</w:t>
      </w:r>
      <w:r>
        <w:t xml:space="preserve"> </w:t>
      </w:r>
      <w:r>
        <w:t xml:space="preserve">the prediction using transcript levels imputed from local genotype.</w:t>
      </w:r>
      <w:r>
        <w:t xml:space="preserve"> </w:t>
      </w:r>
      <w:r>
        <w:t xml:space="preserve">Gray boxes indicate measured quantities, and blue boxes indicate</w:t>
      </w:r>
      <w:r>
        <w:t xml:space="preserve"> </w:t>
      </w:r>
      <w:r>
        <w:t xml:space="preserve">calculated quantities. The dots in each panel represent individual</w:t>
      </w:r>
      <w:r>
        <w:t xml:space="preserve"> </w:t>
      </w:r>
      <w:r>
        <w:t xml:space="preserve">CC-RIX strains. The gray lines show the standard deviation on body</w:t>
      </w:r>
      <w:r>
        <w:t xml:space="preserve"> </w:t>
      </w:r>
      <w:r>
        <w:t xml:space="preserve">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15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rPr>
          <w:vertAlign w:val="superscript"/>
        </w:rPr>
        <w:t xml:space="preserve">52</w:t>
      </w:r>
      <w:r>
        <w:t xml:space="preserve">. To</w:t>
      </w:r>
      <w:r>
        <w:t xml:space="preserve"> </w:t>
      </w:r>
      <w:r>
        <w:t xml:space="preserve">determine whether the immune activation reflected a heritable change in</w:t>
      </w:r>
      <w:r>
        <w:t xml:space="preserve"> </w:t>
      </w:r>
      <w:r>
        <w:t xml:space="preserve">cell composition in adipose tissue in DO mice, we compared loadings of</w:t>
      </w:r>
      <w:r>
        <w:t xml:space="preserve"> </w:t>
      </w:r>
      <w:r>
        <w:t xml:space="preserve">cell-type specific genes in adipose tissue (Methods). Consistent with</w:t>
      </w:r>
      <w:r>
        <w:t xml:space="preserve"> </w:t>
      </w:r>
      <w:r>
        <w:t xml:space="preserve">human results, the mean loading of macrophage-specific genes was</w:t>
      </w:r>
      <w:r>
        <w:t xml:space="preserve"> </w:t>
      </w:r>
      <w:r>
        <w:t xml:space="preserve">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HFHS diet. Loading for marker genes for other cell types were not</w:t>
      </w:r>
      <w:r>
        <w:t xml:space="preserve"> </w:t>
      </w:r>
      <w:r>
        <w:t xml:space="preserve">statistically different from zero, indicating that changes in the</w:t>
      </w:r>
      <w:r>
        <w:t xml:space="preserve"> </w:t>
      </w:r>
      <w:r>
        <w:t xml:space="preserve">abundance of those cell types is not a mediator of MDI.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MDI had inherited a higher proportions of alpha cells, and</w:t>
      </w:r>
      <w:r>
        <w:t xml:space="preserve"> </w:t>
      </w:r>
      <w:r>
        <w:t xml:space="preserve">lower proportions of endothelial and delta cells in their pancreatic</w:t>
      </w:r>
      <w:r>
        <w:t xml:space="preserve"> </w:t>
      </w:r>
      <w:r>
        <w:t xml:space="preserve">islets, that such compositional changes were induced by the HFHS diet in</w:t>
      </w:r>
      <w:r>
        <w:t xml:space="preserve"> </w:t>
      </w:r>
      <w:r>
        <w:t xml:space="preserve">a heritable way, or both. In either case, these results support the</w:t>
      </w:r>
      <w:r>
        <w:t xml:space="preserve"> </w:t>
      </w:r>
      <w:r>
        <w:t xml:space="preserve">hypothesis that alterations in islet composition drive variation in MDI.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MDI. This is further consistent with the islet</w:t>
      </w:r>
      <w:r>
        <w:t xml:space="preserve"> </w:t>
      </w:r>
      <w:r>
        <w:t xml:space="preserve">composition traits having small loadings in 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MDI identified in DO mice is relevant to obesity</w:t>
      </w:r>
      <w:r>
        <w:t xml:space="preserve"> </w:t>
      </w:r>
      <w:r>
        <w:t xml:space="preserve">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54,55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55–57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signature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58,59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60–62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63,64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65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66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67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68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69</w:t>
      </w:r>
      <w:r>
        <w:t xml:space="preserve">. IkappaB</w:t>
      </w:r>
      <w:r>
        <w:t xml:space="preserve"> </w:t>
      </w:r>
      <w:r>
        <w:t xml:space="preserve">kinase (IKK) is an enzyme complex involved in regulating cellular</w:t>
      </w:r>
      <w:r>
        <w:t xml:space="preserve"> </w:t>
      </w:r>
      <w:r>
        <w:t xml:space="preserve">responses to inflammation</w:t>
      </w:r>
      <w:r>
        <w:rPr>
          <w:vertAlign w:val="superscript"/>
        </w:rPr>
        <w:t xml:space="preserve">70</w:t>
      </w:r>
      <w:r>
        <w:t xml:space="preserve">. Inhibitors of IKK have</w:t>
      </w:r>
      <w:r>
        <w:t xml:space="preserve"> </w:t>
      </w:r>
      <w:r>
        <w:t xml:space="preserve">been shown to improve glucose control in type II diabetes</w:t>
      </w:r>
      <w:r>
        <w:rPr>
          <w:vertAlign w:val="superscript"/>
        </w:rPr>
        <w:t xml:space="preserve">71,72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73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74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75,76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77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75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78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79</w:t>
      </w:r>
      <w:r>
        <w:t xml:space="preserve">.</w:t>
      </w:r>
    </w:p>
    <w:p>
      <w:pPr>
        <w:pStyle w:val="BodyText"/>
      </w:pPr>
      <w:r>
        <w:t xml:space="preserve">In summary, the high-loading transcripts derived from HDMA in mice</w:t>
      </w:r>
      <w:r>
        <w:t xml:space="preserve"> </w:t>
      </w:r>
      <w:r>
        <w:t xml:space="preserve">prioritized of drugs with demonstrated effectiveness in reducing type 2</w:t>
      </w:r>
      <w:r>
        <w:t xml:space="preserve"> </w:t>
      </w:r>
      <w:r>
        <w:t xml:space="preserve">diabetes phenotypes in humans in a tissue-specific manner. Drugs</w:t>
      </w:r>
      <w:r>
        <w:t xml:space="preserve"> </w:t>
      </w:r>
      <w:r>
        <w:t xml:space="preserve">identified using the islet loadings are known diabetes drugs that act</w:t>
      </w:r>
      <w:r>
        <w:t xml:space="preserve"> </w:t>
      </w:r>
      <w:r>
        <w:t xml:space="preserve">directly on pancreatic function. Drugs identified by the adipose</w:t>
      </w:r>
      <w:r>
        <w:t xml:space="preserve"> </w:t>
      </w:r>
      <w:r>
        <w:t xml:space="preserve">loadings tended to reduce inflammatory responses and have been shown</w:t>
      </w:r>
      <w:r>
        <w:t xml:space="preserve"> </w:t>
      </w:r>
      <w:r>
        <w:t xml:space="preserve">incidentally to reduce obesity-related morbidity.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investigated the relative contributions of local and distal gene</w:t>
      </w:r>
      <w:r>
        <w:t xml:space="preserve"> </w:t>
      </w:r>
      <w:r>
        <w:t xml:space="preserve">regulation in four tissues to heritable variation in traits related to</w:t>
      </w:r>
      <w:r>
        <w:t xml:space="preserve"> </w:t>
      </w:r>
      <w:r>
        <w:t xml:space="preserve">metabolic disease in genetically diverse mice. We found that distal</w:t>
      </w:r>
      <w:r>
        <w:t xml:space="preserve"> </w:t>
      </w:r>
      <w:r>
        <w:t xml:space="preserve">heritability was positively correlated with trait relatedness, whereas</w:t>
      </w:r>
      <w:r>
        <w:t xml:space="preserve"> </w:t>
      </w:r>
      <w:r>
        <w:t xml:space="preserve">high heritability was negatively correlated with trait relatedness. We</w:t>
      </w:r>
      <w:r>
        <w:t xml:space="preserve"> </w:t>
      </w:r>
      <w:r>
        <w:t xml:space="preserve">used a novel high-dimensional mediation analysis (HDMA) to identify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The adipose-derived</w:t>
      </w:r>
      <w:r>
        <w:t xml:space="preserve"> </w:t>
      </w:r>
      <w:r>
        <w:t xml:space="preserve">composite transcript robustly predicted body weight in an independent</w:t>
      </w:r>
      <w:r>
        <w:t xml:space="preserve"> </w:t>
      </w:r>
      <w:r>
        <w:t xml:space="preserve">cohort of diverse mice with disparate population structure. However,</w:t>
      </w:r>
      <w:r>
        <w:t xml:space="preserve"> </w:t>
      </w:r>
      <w:r>
        <w:t xml:space="preserve">gene expression imputed from local genotype failed to predict body</w:t>
      </w:r>
      <w:r>
        <w:t xml:space="preserve"> </w:t>
      </w:r>
      <w:r>
        <w:t xml:space="preserve">weight in the second population. Taken together, these results highlight</w:t>
      </w:r>
      <w:r>
        <w:t xml:space="preserve"> </w:t>
      </w:r>
      <w:r>
        <w:t xml:space="preserve">the complexity of gene expression regulation in relation to trait</w:t>
      </w:r>
      <w:r>
        <w:t xml:space="preserve"> </w:t>
      </w:r>
      <w:r>
        <w:t xml:space="preserve">heritability and suggest that heritable trait variation is mediated</w:t>
      </w:r>
      <w:r>
        <w:t xml:space="preserve"> </w:t>
      </w:r>
      <w:r>
        <w:t xml:space="preserve">primarily through distal gene regulation.</w:t>
      </w:r>
    </w:p>
    <w:bookmarkEnd w:id="58"/>
    <w:bookmarkStart w:id="59" w:name="supplemental-discussion"/>
    <w:p>
      <w:pPr>
        <w:pStyle w:val="Heading2"/>
      </w:pPr>
      <w:r>
        <w:t xml:space="preserve">Supplemental Discussion</w:t>
      </w:r>
    </w:p>
    <w:p>
      <w:pPr>
        <w:pStyle w:val="FirstParagraph"/>
      </w:pPr>
      <w:r>
        <w:t xml:space="preserve">Our result that distal regulation accounted for most trait-related gene</w:t>
      </w:r>
      <w:r>
        <w:t xml:space="preserve"> </w:t>
      </w:r>
      <w:r>
        <w:t xml:space="preserve">expression differences is consistent with a complex model of genetic</w:t>
      </w:r>
      <w:r>
        <w:t xml:space="preserve"> </w:t>
      </w:r>
      <w:r>
        <w:t xml:space="preserve">trait determination. It has frequently been assumed that gene regulation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18,19,80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important elements leads to fragility of the system</w:t>
      </w:r>
      <w:r>
        <w:rPr>
          <w:vertAlign w:val="superscript"/>
        </w:rPr>
        <w:t xml:space="preserve">81–83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Our results are consistent with the recently proposed omnigenic model,</w:t>
      </w:r>
      <w:r>
        <w:t xml:space="preserve"> </w:t>
      </w:r>
      <w:r>
        <w:t xml:space="preserve">which 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84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Unlike in the omnigenic model, we did not observe a clear demarcation</w:t>
      </w:r>
      <w:r>
        <w:t xml:space="preserve"> </w:t>
      </w:r>
      <w:r>
        <w:t xml:space="preserve">between the core and peripheral genes in loading magnitude, but we do</w:t>
      </w:r>
      <w:r>
        <w:t xml:space="preserve"> </w:t>
      </w:r>
      <w:r>
        <w:t xml:space="preserve">not necessarily expect a clear separation given the complexity of gene</w:t>
      </w:r>
      <w:r>
        <w:t xml:space="preserve"> </w:t>
      </w:r>
      <w:r>
        <w:t xml:space="preserve">regulation and the genotype-phenotype map</w:t>
      </w:r>
      <w:r>
        <w:rPr>
          <w:vertAlign w:val="superscript"/>
        </w:rPr>
        <w:t xml:space="preserve">85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80</w:t>
      </w:r>
      <w:r>
        <w:t xml:space="preserve">. This is consistent with what we observed here. For</w:t>
      </w:r>
      <w:r>
        <w:t xml:space="preserve"> </w:t>
      </w:r>
      <w:r>
        <w:t xml:space="preserve">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 islets and was also</w:t>
      </w:r>
      <w:r>
        <w:t xml:space="preserve"> </w:t>
      </w:r>
      <w:r>
        <w:t xml:space="preserve">strongly distally regulated (66% distal 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Although its transcription was highly</w:t>
      </w:r>
      <w:r>
        <w:t xml:space="preserve"> </w:t>
      </w:r>
      <w:r>
        <w:t xml:space="preserve">heritable in islets, that regulation was distributed across the genome,</w:t>
      </w:r>
      <w:r>
        <w:t xml:space="preserve"> </w:t>
      </w:r>
      <w:r>
        <w:t xml:space="preserve">with no clear 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20</w:t>
        </w:r>
      </w:hyperlink>
      <w:r>
        <w:t xml:space="preserve">). Thus,</w:t>
      </w:r>
      <w:r>
        <w:t xml:space="preserve"> </w:t>
      </w:r>
      <w:r>
        <w:t xml:space="preserve">although distal regulation of some genes may be strong, this regulation</w:t>
      </w:r>
      <w:r>
        <w:t xml:space="preserve"> </w:t>
      </w:r>
      <w:r>
        <w:t xml:space="preserve">is likely to be highly complex and not easily localized.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43–47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Together, our results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plausibly causal of disease, and</w:t>
      </w:r>
      <w:r>
        <w:t xml:space="preserve"> </w:t>
      </w:r>
      <w:r>
        <w:t xml:space="preserve">translatable to other mouse populations and to humans. Finally, we have</w:t>
      </w:r>
      <w:r>
        <w:t xml:space="preserve"> </w:t>
      </w:r>
      <w:r>
        <w:t xml:space="preserve">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9"/>
    <w:bookmarkStart w:id="65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rPr>
          <w:bCs/>
          <w:b/>
        </w:rPr>
        <w:t xml:space="preserve">DO mice:</w:t>
      </w:r>
      <w:r>
        <w:t xml:space="preserve"> </w:t>
      </w:r>
      <w:r>
        <w:t xml:space="preserve">Genotypes, phenotypes, and pancreatic islet gene</w:t>
      </w:r>
      <w:r>
        <w:t xml:space="preserve"> </w:t>
      </w:r>
      <w:r>
        <w:t xml:space="preserve">expression data were previously published</w:t>
      </w:r>
      <w:r>
        <w:rPr>
          <w:vertAlign w:val="superscript"/>
        </w:rPr>
        <w:t xml:space="preserve">12</w:t>
      </w:r>
      <w:r>
        <w:t xml:space="preserve">. Gene</w:t>
      </w:r>
      <w:r>
        <w:t xml:space="preserve"> </w:t>
      </w:r>
      <w:r>
        <w:t xml:space="preserve">expression for the other tissues can be found at the Gene Expression</w:t>
      </w:r>
      <w:r>
        <w:t xml:space="preserve"> </w:t>
      </w:r>
      <w:r>
        <w:t xml:space="preserve">Omnibus url{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} with the</w:t>
      </w:r>
      <w:r>
        <w:t xml:space="preserve"> </w:t>
      </w:r>
      <w:r>
        <w:t xml:space="preserve">following accession numbers: DO adipose tissue - GSE266549; DO liver</w:t>
      </w:r>
      <w:r>
        <w:t xml:space="preserve"> </w:t>
      </w:r>
      <w:r>
        <w:t xml:space="preserve">tissue - GSE266569; DO skeletal muscle - GSE266567. Expression data with</w:t>
      </w:r>
      <w:r>
        <w:t xml:space="preserve"> </w:t>
      </w:r>
      <w:r>
        <w:t xml:space="preserve">calculated eQTLs are available on the Synapse</w:t>
      </w:r>
      <w:r>
        <w:t xml:space="preserve"> </w:t>
      </w:r>
      <w:hyperlink r:id="rId61">
        <w:r>
          <w:rPr>
            <w:rStyle w:val="Hyperlink"/>
          </w:rPr>
          <w:t xml:space="preserve">https://www.synapse.org/</w:t>
        </w:r>
      </w:hyperlink>
      <w:r>
        <w:t xml:space="preserve">, synIDXXX</w:t>
      </w:r>
    </w:p>
    <w:p>
      <w:pPr>
        <w:pStyle w:val="BodyText"/>
      </w:pPr>
      <w:r>
        <w:t xml:space="preserve">Genotypes: Sequence data for the DO mice used here are available from</w:t>
      </w:r>
      <w:r>
        <w:t xml:space="preserve"> </w:t>
      </w:r>
      <w:r>
        <w:t xml:space="preserve">the Sequence Read Archive</w:t>
      </w:r>
      <w:r>
        <w:t xml:space="preserve"> </w:t>
      </w:r>
      <w:hyperlink r:id="rId62">
        <w:r>
          <w:rPr>
            <w:rStyle w:val="Hyperlink"/>
          </w:rPr>
          <w:t xml:space="preserve">https://www.ncbi.nlm.nih.gov/sra/</w:t>
        </w:r>
      </w:hyperlink>
      <w:r>
        <w:t xml:space="preserve"> </w:t>
      </w:r>
      <w:r>
        <w:t xml:space="preserve">(study</w:t>
      </w:r>
      <w:r>
        <w:t xml:space="preserve"> </w:t>
      </w:r>
      <w:r>
        <w:t xml:space="preserve">number SRP125176). Genotype data for the CC mice are available from</w:t>
      </w:r>
      <w:r>
        <w:t xml:space="preserve"> </w:t>
      </w:r>
      <w:r>
        <w:t xml:space="preserve">University of North Carolina Computational Systems Biology</w:t>
      </w:r>
      <w:r>
        <w:t xml:space="preserve"> </w:t>
      </w:r>
      <w:r>
        <w:t xml:space="preserve">(</w:t>
      </w:r>
      <w:hyperlink r:id="rId63">
        <w:r>
          <w:rPr>
            <w:rStyle w:val="Hyperlink"/>
          </w:rPr>
          <w:t xml:space="preserve">http://www.csbio.unc.edu/CCstatus/CCGenomes/</w:t>
        </w:r>
      </w:hyperlink>
      <w:r>
        <w:t xml:space="preserve">).</w:t>
      </w:r>
    </w:p>
    <w:p>
      <w:pPr>
        <w:pStyle w:val="BodyText"/>
      </w:pPr>
      <w:r>
        <w:t xml:space="preserve">Gene expression: Data can be found at the Gene Expression Omnibus</w:t>
      </w:r>
      <w:r>
        <w:t xml:space="preserve"> </w:t>
      </w:r>
      <w:r>
        <w:t xml:space="preserve">url{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} with the following</w:t>
      </w:r>
      <w:r>
        <w:t xml:space="preserve"> </w:t>
      </w:r>
      <w:r>
        <w:t xml:space="preserve">accession numbers: DO adipose tissue - GSE266549; DO liver tissue -</w:t>
      </w:r>
      <w:r>
        <w:t xml:space="preserve"> </w:t>
      </w:r>
      <w:r>
        <w:t xml:space="preserve">GSE266569; DO skeletal muscle - GSE266567; CC-RIX adipose tissue -</w:t>
      </w:r>
      <w:r>
        <w:t xml:space="preserve"> </w:t>
      </w:r>
      <w:r>
        <w:t xml:space="preserve">GSE237737; CC-RIX liver tissue - GSE237743; CC-RIX skeletal muscle -</w:t>
      </w:r>
      <w:r>
        <w:t xml:space="preserve"> </w:t>
      </w:r>
      <w:r>
        <w:t xml:space="preserve">GSE237747. Quantified pancreatic islet gene expression for the DO mice,</w:t>
      </w:r>
      <w:r>
        <w:t xml:space="preserve"> </w:t>
      </w:r>
      <w:r>
        <w:t xml:space="preserve">along with their genotypes and phenotypes can be found on Dryad</w:t>
      </w:r>
      <w:r>
        <w:t xml:space="preserve"> </w:t>
      </w:r>
      <w:hyperlink r:id="rId64">
        <w:r>
          <w:rPr>
            <w:rStyle w:val="Hyperlink"/>
          </w:rPr>
          <w:t xml:space="preserve">https://datadryad.org/stash/dataset/doi:10.5061/dryad.pj105</w:t>
        </w:r>
      </w:hyperlink>
      <w:r>
        <w:t xml:space="preserve">.</w:t>
      </w:r>
    </w:p>
    <w:p>
      <w:pPr>
        <w:pStyle w:val="BodyText"/>
      </w:pPr>
      <w:r>
        <w:t xml:space="preserve">Phenotypes: Metabolic phenotypes for the DO mice along with genotypes</w:t>
      </w:r>
      <w:r>
        <w:t xml:space="preserve"> </w:t>
      </w:r>
      <w:r>
        <w:t xml:space="preserve">and quantified gene expression area available from</w:t>
      </w:r>
      <w:r>
        <w:t xml:space="preserve"> </w:t>
      </w:r>
      <w:hyperlink r:id="rId64">
        <w:r>
          <w:rPr>
            <w:rStyle w:val="Hyperlink"/>
          </w:rPr>
          <w:t xml:space="preserve">https://datadryad.org/stash/dataset/doi:10.5061/dryad.pj105</w:t>
        </w:r>
      </w:hyperlink>
    </w:p>
    <w:p>
      <w:pPr>
        <w:pStyle w:val="BodyText"/>
      </w:pPr>
      <w:r>
        <w:t xml:space="preserve">Metabolic phenotypes for the CC-RIX mice are available from XXX</w:t>
      </w:r>
    </w:p>
    <w:bookmarkEnd w:id="65"/>
    <w:bookmarkStart w:id="66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 and cite funding sources.</w:t>
      </w:r>
    </w:p>
    <w:bookmarkEnd w:id="66"/>
    <w:bookmarkStart w:id="191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1_eQTL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enrichments_KEGG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enrichments_GO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OxPhos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TCA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Branched_Chain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CC-RIX_Imputation.pdf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</w:t>
      </w:r>
      <w:r>
        <w:t xml:space="preserve"> </w:t>
      </w:r>
      <w:r>
        <w:t xml:space="preserve">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</w:t>
      </w:r>
      <w:r>
        <w:t xml:space="preserve"> </w:t>
      </w:r>
      <w:r>
        <w:t xml:space="preserve">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_Fig_Adipose_ASC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normal adipocytes.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Figures/Supp_Fig_Islet_YAPC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YAPC cells, which were derived from a pancreatic carcinoma cells.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Figures/Supplemental_FigX_Nucb2_eQTL.pdf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90" w:name="refs"/>
    <w:bookmarkStart w:id="103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103"/>
    <w:bookmarkStart w:id="104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104"/>
    <w:bookmarkStart w:id="105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105"/>
    <w:bookmarkStart w:id="106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6"/>
    <w:bookmarkStart w:id="107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7"/>
    <w:bookmarkStart w:id="108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8"/>
    <w:bookmarkStart w:id="109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9"/>
    <w:bookmarkStart w:id="110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10"/>
    <w:bookmarkStart w:id="111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11"/>
    <w:bookmarkStart w:id="112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12"/>
    <w:bookmarkStart w:id="113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13"/>
    <w:bookmarkStart w:id="114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14"/>
    <w:bookmarkStart w:id="115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15"/>
    <w:bookmarkStart w:id="116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6"/>
    <w:bookmarkStart w:id="117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7"/>
    <w:bookmarkStart w:id="118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8"/>
    <w:bookmarkStart w:id="119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9"/>
    <w:bookmarkStart w:id="120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20"/>
    <w:bookmarkStart w:id="121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21"/>
    <w:bookmarkStart w:id="122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22"/>
    <w:bookmarkStart w:id="123" w:name="ref-pmid36350656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23"/>
    <w:bookmarkStart w:id="124" w:name="ref-pmid34556834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24"/>
    <w:bookmarkStart w:id="125" w:name="ref-pmid2808948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25"/>
    <w:bookmarkStart w:id="126" w:name="ref-pmid10889786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6"/>
    <w:bookmarkStart w:id="127" w:name="ref-pmid22892839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7"/>
    <w:bookmarkStart w:id="128" w:name="ref-pmid18716833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28"/>
    <w:bookmarkStart w:id="129" w:name="ref-pmid31133439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29"/>
    <w:bookmarkStart w:id="130" w:name="ref-pmid17018838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30"/>
    <w:bookmarkStart w:id="131" w:name="ref-pmid30591514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31"/>
    <w:bookmarkStart w:id="133" w:name="ref-rgcca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32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33"/>
    <w:bookmarkStart w:id="134" w:name="ref-pmid38383808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34"/>
    <w:bookmarkStart w:id="136" w:name="ref-fgsea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35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6"/>
    <w:bookmarkStart w:id="137" w:name="ref-pmid16199517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7"/>
    <w:bookmarkStart w:id="138" w:name="ref-pmid19133410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8"/>
    <w:bookmarkStart w:id="139" w:name="ref-pmid2895538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39"/>
    <w:bookmarkStart w:id="140" w:name="ref-pmid28912810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40"/>
    <w:bookmarkStart w:id="141" w:name="ref-pmid2890133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41"/>
    <w:bookmarkStart w:id="142" w:name="ref-pmid24969772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42"/>
    <w:bookmarkStart w:id="143" w:name="ref-pmid18492779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43"/>
    <w:bookmarkStart w:id="144" w:name="ref-pmid2256021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44"/>
    <w:bookmarkStart w:id="145" w:name="ref-pmid19841271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45"/>
    <w:bookmarkStart w:id="146" w:name="ref-pmid1738976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6"/>
    <w:bookmarkStart w:id="147" w:name="ref-pmid12805374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7"/>
    <w:bookmarkStart w:id="148" w:name="ref-pmid12618528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8"/>
    <w:bookmarkStart w:id="149" w:name="ref-pmid16357043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49"/>
    <w:bookmarkStart w:id="150" w:name="ref-pmid1564445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50"/>
    <w:bookmarkStart w:id="151" w:name="ref-pmid16403437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51"/>
    <w:bookmarkStart w:id="152" w:name="ref-pmid28592495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52"/>
    <w:bookmarkStart w:id="153" w:name="ref-pmid21411855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53"/>
    <w:bookmarkStart w:id="154" w:name="ref-pmid17674098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54"/>
    <w:bookmarkStart w:id="155" w:name="ref-pmid1551466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55"/>
    <w:bookmarkStart w:id="156" w:name="ref-pmid2478140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6"/>
    <w:bookmarkStart w:id="157" w:name="ref-pmid17008526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7"/>
    <w:bookmarkStart w:id="158" w:name="ref-pmid30290005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8"/>
    <w:bookmarkStart w:id="159" w:name="ref-pmid3003457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9"/>
    <w:bookmarkStart w:id="160" w:name="ref-pmid238812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60"/>
    <w:bookmarkStart w:id="161" w:name="ref-pmid21266327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61"/>
    <w:bookmarkStart w:id="162" w:name="ref-pmid24582093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62"/>
    <w:bookmarkStart w:id="163" w:name="ref-pmid3558519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63"/>
    <w:bookmarkStart w:id="164" w:name="ref-pmid30310815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64"/>
    <w:bookmarkStart w:id="165" w:name="ref-pmid1125447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65"/>
    <w:bookmarkStart w:id="166" w:name="ref-pmid23197361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6"/>
    <w:bookmarkStart w:id="167" w:name="ref-pmid27411014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7"/>
    <w:bookmarkStart w:id="168" w:name="ref-pmid25385872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8"/>
    <w:bookmarkStart w:id="169" w:name="ref-pmid3445019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9"/>
    <w:bookmarkStart w:id="170" w:name="ref-pmid21459330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70"/>
    <w:bookmarkStart w:id="171" w:name="ref-pmid12114611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71"/>
    <w:bookmarkStart w:id="172" w:name="ref-pmid3364892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72"/>
    <w:bookmarkStart w:id="173" w:name="ref-pmid28753229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73"/>
    <w:bookmarkStart w:id="174" w:name="ref-pmid17047224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Hacker, H. &amp; Karin, M. Regulation and function of IKK and IKK-related kinases.</w:t>
      </w:r>
      <w:r>
        <w:t xml:space="preserve"> </w:t>
      </w:r>
      <w:r>
        <w:rPr>
          <w:iCs/>
          <w:i/>
        </w:rPr>
        <w:t xml:space="preserve">Science’s STKE</w:t>
      </w:r>
      <w:r>
        <w:t xml:space="preserve"> </w:t>
      </w:r>
      <w:r>
        <w:rPr>
          <w:bCs/>
          <w:b/>
        </w:rPr>
        <w:t xml:space="preserve">2006</w:t>
      </w:r>
      <w:r>
        <w:t xml:space="preserve">, re13–re13 (2006).</w:t>
      </w:r>
    </w:p>
    <w:bookmarkEnd w:id="174"/>
    <w:bookmarkStart w:id="175" w:name="ref-pmid28683283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75"/>
    <w:bookmarkStart w:id="176" w:name="ref-pmid15685170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76"/>
    <w:bookmarkStart w:id="177" w:name="ref-pmid33603744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7"/>
    <w:bookmarkStart w:id="178" w:name="ref-pmid32281000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8"/>
    <w:bookmarkStart w:id="179" w:name="ref-pmid27007849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9"/>
    <w:bookmarkStart w:id="180" w:name="ref-pmid28823510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80"/>
    <w:bookmarkStart w:id="181" w:name="ref-pmid24520198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81"/>
    <w:bookmarkStart w:id="182" w:name="ref-pmid21190462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82"/>
    <w:bookmarkStart w:id="183" w:name="ref-pmid16631807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83"/>
    <w:bookmarkStart w:id="184" w:name="ref-pmid31051098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84"/>
    <w:bookmarkStart w:id="185" w:name="ref-pmid29782925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5"/>
    <w:bookmarkStart w:id="186" w:name="ref-pmid12082173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6"/>
    <w:bookmarkStart w:id="187" w:name="ref-pmid273049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7"/>
    <w:bookmarkStart w:id="188" w:name="ref-pmid28622505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8"/>
    <w:bookmarkStart w:id="189" w:name="ref-pmid29906445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89"/>
    <w:bookmarkEnd w:id="190"/>
    <w:bookmarkEnd w:id="1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7" Target="media/rId67.pdf" /><Relationship Type="http://schemas.openxmlformats.org/officeDocument/2006/relationships/image" Id="rId94" Target="media/rId94.png" /><Relationship Type="http://schemas.openxmlformats.org/officeDocument/2006/relationships/image" Id="rId88" Target="media/rId88.png" /><Relationship Type="http://schemas.openxmlformats.org/officeDocument/2006/relationships/image" Id="rId82" Target="media/rId82.png" /><Relationship Type="http://schemas.openxmlformats.org/officeDocument/2006/relationships/image" Id="rId85" Target="media/rId85.pdf" /><Relationship Type="http://schemas.openxmlformats.org/officeDocument/2006/relationships/image" Id="rId97" Target="media/rId97.png" /><Relationship Type="http://schemas.openxmlformats.org/officeDocument/2006/relationships/image" Id="rId91" Target="media/rId91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73" Target="media/rId73.pdf" /><Relationship Type="http://schemas.openxmlformats.org/officeDocument/2006/relationships/image" Id="rId70" Target="media/rId70.pdf" /><Relationship Type="http://schemas.openxmlformats.org/officeDocument/2006/relationships/image" Id="rId100" Target="media/rId100.pdf" /><Relationship Type="http://schemas.openxmlformats.org/officeDocument/2006/relationships/hyperlink" Id="rId63" Target="http://www.csbio.unc.edu/CCstatus/CCGenomes/" TargetMode="External" /><Relationship Type="http://schemas.openxmlformats.org/officeDocument/2006/relationships/hyperlink" Id="rId132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64" Target="https://datadryad.org/stash/dataset/doi:10.5061/dryad.pj105" TargetMode="External" /><Relationship Type="http://schemas.openxmlformats.org/officeDocument/2006/relationships/hyperlink" Id="rId135" Target="https://doi.org/10.1101/060012" TargetMode="External" /><Relationship Type="http://schemas.openxmlformats.org/officeDocument/2006/relationships/hyperlink" Id="rId60" Target="https://www.ncbi.nlm.nih.gov/geo/" TargetMode="External" /><Relationship Type="http://schemas.openxmlformats.org/officeDocument/2006/relationships/hyperlink" Id="rId62" Target="https://www.ncbi.nlm.nih.gov/sra/" TargetMode="External" /><Relationship Type="http://schemas.openxmlformats.org/officeDocument/2006/relationships/hyperlink" Id="rId61" Target="https://www.synapse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63" Target="http://www.csbio.unc.edu/CCstatus/CCGenomes/" TargetMode="External" /><Relationship Type="http://schemas.openxmlformats.org/officeDocument/2006/relationships/hyperlink" Id="rId132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64" Target="https://datadryad.org/stash/dataset/doi:10.5061/dryad.pj105" TargetMode="External" /><Relationship Type="http://schemas.openxmlformats.org/officeDocument/2006/relationships/hyperlink" Id="rId135" Target="https://doi.org/10.1101/060012" TargetMode="External" /><Relationship Type="http://schemas.openxmlformats.org/officeDocument/2006/relationships/hyperlink" Id="rId60" Target="https://www.ncbi.nlm.nih.gov/geo/" TargetMode="External" /><Relationship Type="http://schemas.openxmlformats.org/officeDocument/2006/relationships/hyperlink" Id="rId62" Target="https://www.ncbi.nlm.nih.gov/sra/" TargetMode="External" /><Relationship Type="http://schemas.openxmlformats.org/officeDocument/2006/relationships/hyperlink" Id="rId61" Target="https://www.synapse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2024-09-17T19:02:56Z</dcterms:created>
  <dcterms:modified xsi:type="dcterms:W3CDTF">2024-09-17T19:02:56Z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